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31" w:rsidRDefault="00CB3A31" w:rsidP="009C0503">
      <w:pPr>
        <w:pStyle w:val="Title"/>
        <w:tabs>
          <w:tab w:val="left" w:pos="2552"/>
          <w:tab w:val="left" w:pos="3686"/>
        </w:tabs>
        <w:spacing w:before="0" w:after="40"/>
        <w:rPr>
          <w:rFonts w:ascii="Tahoma" w:hAnsi="Tahoma"/>
          <w:b/>
          <w:spacing w:val="28"/>
          <w:sz w:val="32"/>
        </w:rPr>
      </w:pPr>
      <w:r>
        <w:rPr>
          <w:rFonts w:ascii="Tahoma" w:hAnsi="Tahoma"/>
          <w:b/>
          <w:spacing w:val="28"/>
          <w:sz w:val="32"/>
        </w:rPr>
        <w:t>BIZTONSÁGI ADATLAP</w:t>
      </w:r>
    </w:p>
    <w:p w:rsidR="00CB3A31" w:rsidRDefault="00CB3A31"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CB3A31" w:rsidRDefault="00CB3A3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CB3A31" w:rsidRDefault="00CB3A31" w:rsidP="009C0503">
      <w:pPr>
        <w:tabs>
          <w:tab w:val="left" w:pos="2410"/>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Lorin Gépi öblítőszer</w:t>
      </w:r>
    </w:p>
    <w:p w:rsidR="00CB3A31" w:rsidRDefault="00CB3A31" w:rsidP="009C0503">
      <w:pPr>
        <w:tabs>
          <w:tab w:val="center" w:pos="4536"/>
        </w:tabs>
        <w:spacing w:before="40"/>
        <w:ind w:right="-2"/>
        <w:rPr>
          <w:rFonts w:ascii="Tahoma" w:hAnsi="Tahoma" w:cs="Simplified Arabic Fixed"/>
          <w:snapToGrid w:val="0"/>
        </w:rPr>
      </w:pPr>
      <w:r w:rsidRPr="00681260">
        <w:rPr>
          <w:rFonts w:ascii="Tahoma" w:hAnsi="Tahoma" w:cs="Simplified Arabic Fixed"/>
          <w:b/>
          <w:snapToGrid w:val="0"/>
        </w:rPr>
        <w:t>1.2. Azonosított felhasználás:</w:t>
      </w:r>
      <w:r w:rsidRPr="00623045">
        <w:rPr>
          <w:rFonts w:ascii="Tahoma" w:hAnsi="Tahoma" w:cs="Simplified Arabic Fixed"/>
          <w:snapToGrid w:val="0"/>
        </w:rPr>
        <w:t xml:space="preserve"> tisztítószer</w:t>
      </w:r>
    </w:p>
    <w:p w:rsidR="00CB3A31" w:rsidRPr="00623045" w:rsidRDefault="00CB3A31" w:rsidP="00E709EB">
      <w:pPr>
        <w:tabs>
          <w:tab w:val="left" w:pos="426"/>
          <w:tab w:val="center" w:pos="4536"/>
        </w:tabs>
        <w:spacing w:before="4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CB3A31" w:rsidRDefault="00CB3A31"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CB3A31" w:rsidRPr="0008511E" w:rsidRDefault="00CB3A31" w:rsidP="00E709EB">
      <w:pPr>
        <w:spacing w:before="40"/>
        <w:ind w:left="425"/>
        <w:rPr>
          <w:rFonts w:ascii="Tahoma" w:hAnsi="Tahoma" w:cs="Tahoma"/>
          <w:b/>
        </w:rPr>
      </w:pPr>
      <w:r w:rsidRPr="0008511E">
        <w:rPr>
          <w:rFonts w:ascii="Tahoma" w:hAnsi="Tahoma" w:cs="Tahoma"/>
          <w:b/>
        </w:rPr>
        <w:t>GIRONDE Kozmetikai és Háztartás-vegyipari Termékeket Gyártó és Forgalmazó Kft.</w:t>
      </w:r>
    </w:p>
    <w:p w:rsidR="00CB3A31" w:rsidRPr="0008511E" w:rsidRDefault="00CB3A31" w:rsidP="005C50EE">
      <w:pPr>
        <w:tabs>
          <w:tab w:val="left" w:pos="1985"/>
        </w:tabs>
        <w:ind w:left="426"/>
        <w:rPr>
          <w:rFonts w:ascii="Tahoma" w:hAnsi="Tahoma" w:cs="Tahoma"/>
        </w:rPr>
      </w:pPr>
      <w:r w:rsidRPr="0008511E">
        <w:rPr>
          <w:rFonts w:ascii="Tahoma" w:hAnsi="Tahoma" w:cs="Tahoma"/>
        </w:rPr>
        <w:t>H-3333 Terpes, Petőfi út 2 – 4.</w:t>
      </w:r>
    </w:p>
    <w:p w:rsidR="00CB3A31" w:rsidRDefault="00CB3A31"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CB3A31" w:rsidRPr="0008511E" w:rsidRDefault="00CB3A31" w:rsidP="005C50EE">
      <w:pPr>
        <w:tabs>
          <w:tab w:val="left" w:pos="1985"/>
        </w:tabs>
        <w:ind w:left="426"/>
        <w:rPr>
          <w:rFonts w:ascii="Tahoma" w:hAnsi="Tahoma" w:cs="Tahoma"/>
        </w:rPr>
      </w:pPr>
      <w:r>
        <w:rPr>
          <w:rFonts w:ascii="Tahoma" w:hAnsi="Tahoma" w:cs="Tahoma"/>
        </w:rPr>
        <w:t>honlap: www.gironde.hu</w:t>
      </w:r>
    </w:p>
    <w:p w:rsidR="00CB3A31" w:rsidRDefault="00CB3A31"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girone@t-online.hu</w:t>
      </w:r>
    </w:p>
    <w:p w:rsidR="00CB3A31" w:rsidRPr="004D5835" w:rsidRDefault="00CB3A31"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CB3A31" w:rsidRDefault="00CB3A31"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CB3A31" w:rsidRDefault="00CB3A31"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CB3A31" w:rsidRDefault="00CB3A3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CB3A31" w:rsidRDefault="00CB3A31" w:rsidP="005D6C4F">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CB3A31" w:rsidRPr="00E43E30" w:rsidRDefault="00CB3A31" w:rsidP="005D6C4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CB3A31" w:rsidRDefault="00CB3A31" w:rsidP="005D6C4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CB3A31" w:rsidRDefault="00CB3A31" w:rsidP="005D6C4F">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CB3A31" w:rsidRDefault="00CB3A31" w:rsidP="005D6C4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CB3A31" w:rsidRPr="00BD425C" w:rsidRDefault="00CB3A31" w:rsidP="005D6C4F">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CB3A31" w:rsidRDefault="00CB3A31" w:rsidP="005D6C4F">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CB3A31" w:rsidRDefault="00CB3A31" w:rsidP="005D6C4F">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CB3A31" w:rsidRPr="008D7648" w:rsidRDefault="00CB3A31" w:rsidP="008D7648">
      <w:pPr>
        <w:tabs>
          <w:tab w:val="left" w:pos="567"/>
          <w:tab w:val="left" w:pos="742"/>
          <w:tab w:val="left" w:pos="1134"/>
          <w:tab w:val="left" w:pos="4395"/>
        </w:tabs>
        <w:spacing w:before="40"/>
        <w:ind w:firstLine="425"/>
        <w:jc w:val="both"/>
        <w:rPr>
          <w:rFonts w:ascii="Tahoma" w:hAnsi="Tahoma" w:cs="Tahoma"/>
          <w:snapToGrid w:val="0"/>
        </w:rPr>
      </w:pPr>
      <w:r w:rsidRPr="008D7648">
        <w:rPr>
          <w:rFonts w:ascii="Tahoma" w:hAnsi="Tahoma" w:cs="Tahoma"/>
          <w:b/>
          <w:snapToGrid w:val="0"/>
        </w:rPr>
        <w:t>P103</w:t>
      </w:r>
      <w:r w:rsidRPr="008D7648">
        <w:rPr>
          <w:rFonts w:ascii="Tahoma" w:hAnsi="Tahoma" w:cs="Tahoma"/>
          <w:b/>
          <w:snapToGrid w:val="0"/>
        </w:rPr>
        <w:tab/>
      </w:r>
      <w:r w:rsidRPr="008D7648">
        <w:rPr>
          <w:rFonts w:ascii="Tahoma" w:hAnsi="Tahoma" w:cs="Tahoma"/>
          <w:snapToGrid w:val="0"/>
        </w:rPr>
        <w:t>Használat előtt olvassa el a címkén közölt információkat.</w:t>
      </w:r>
    </w:p>
    <w:p w:rsidR="00CB3A31" w:rsidRDefault="00CB3A31" w:rsidP="005D6C4F">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CB3A31" w:rsidRDefault="00CB3A31" w:rsidP="005D6C4F">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CB3A31" w:rsidRPr="0094486F" w:rsidRDefault="00CB3A31" w:rsidP="005D6C4F">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CB3A31" w:rsidRDefault="00CB3A31" w:rsidP="005D6C4F">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p w:rsidR="00CB3A31" w:rsidRPr="00A855C9" w:rsidRDefault="00CB3A31" w:rsidP="005D6C4F">
      <w:pPr>
        <w:tabs>
          <w:tab w:val="left" w:pos="567"/>
          <w:tab w:val="left" w:pos="742"/>
          <w:tab w:val="left" w:pos="1134"/>
          <w:tab w:val="left" w:pos="1418"/>
          <w:tab w:val="left" w:pos="3544"/>
          <w:tab w:val="left" w:pos="4395"/>
        </w:tabs>
        <w:spacing w:before="40"/>
        <w:ind w:firstLine="425"/>
        <w:jc w:val="both"/>
        <w:rPr>
          <w:rFonts w:ascii="Tahoma" w:hAnsi="Tahoma" w:cs="Tahoma"/>
          <w:b/>
          <w:snapToGrid w:val="0"/>
        </w:rPr>
      </w:pPr>
      <w:r>
        <w:rPr>
          <w:rFonts w:ascii="Tahoma" w:hAnsi="Tahoma" w:cs="Tahoma"/>
          <w:b/>
          <w:snapToGrid w:val="0"/>
        </w:rPr>
        <w:t xml:space="preserve">Kiegészítő mondat: </w:t>
      </w:r>
      <w:r w:rsidRPr="00A855C9">
        <w:rPr>
          <w:rFonts w:ascii="Tahoma" w:hAnsi="Tahoma" w:cs="Tahoma"/>
          <w:b/>
          <w:snapToGrid w:val="0"/>
        </w:rPr>
        <w:t>EUH210</w:t>
      </w:r>
      <w:r w:rsidRPr="00A855C9">
        <w:rPr>
          <w:rFonts w:ascii="Tahoma" w:hAnsi="Tahoma" w:cs="Tahoma"/>
          <w:b/>
          <w:snapToGrid w:val="0"/>
        </w:rPr>
        <w:tab/>
      </w:r>
      <w:r w:rsidRPr="00A855C9">
        <w:rPr>
          <w:rFonts w:ascii="Tahoma" w:hAnsi="Tahoma" w:cs="Tahoma"/>
          <w:snapToGrid w:val="0"/>
        </w:rPr>
        <w:t>Kérésre biztonsági adatlap kapható.</w:t>
      </w:r>
    </w:p>
    <w:bookmarkEnd w:id="0"/>
    <w:p w:rsidR="00CB3A31" w:rsidRPr="00CF5948" w:rsidRDefault="00CB3A31" w:rsidP="005D6C4F">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r>
        <w:rPr>
          <w:rFonts w:ascii="Tahoma" w:hAnsi="Tahoma" w:cs="Tahoma"/>
          <w:b/>
          <w:snapToGrid w:val="0"/>
        </w:rPr>
        <w:t>, információ</w:t>
      </w:r>
    </w:p>
    <w:p w:rsidR="00CB3A31" w:rsidRDefault="00CB3A31" w:rsidP="005D6C4F">
      <w:pPr>
        <w:pStyle w:val="BodyTextIndent"/>
        <w:spacing w:before="40"/>
        <w:ind w:left="0"/>
        <w:rPr>
          <w:rFonts w:cs="Tahoma"/>
        </w:rPr>
      </w:pPr>
      <w:r w:rsidRPr="00CF5948">
        <w:rPr>
          <w:rFonts w:cs="Tahoma"/>
          <w:b/>
        </w:rPr>
        <w:t>Fizikai-kémiai veszély:</w:t>
      </w:r>
      <w:r w:rsidRPr="00CF5948">
        <w:rPr>
          <w:rFonts w:cs="Tahoma"/>
        </w:rPr>
        <w:t xml:space="preserve"> nem lép fel.</w:t>
      </w:r>
      <w:r>
        <w:rPr>
          <w:rFonts w:cs="Tahoma"/>
        </w:rPr>
        <w:t xml:space="preserve"> </w:t>
      </w:r>
    </w:p>
    <w:p w:rsidR="00CB3A31" w:rsidRDefault="00CB3A31" w:rsidP="005D6C4F">
      <w:pPr>
        <w:pStyle w:val="BodyTextIndent"/>
        <w:spacing w:before="40"/>
        <w:ind w:left="0"/>
        <w:rPr>
          <w:rFonts w:cs="Tahoma"/>
        </w:rPr>
      </w:pPr>
      <w:r>
        <w:rPr>
          <w:rFonts w:cs="Tahoma"/>
          <w:b/>
        </w:rPr>
        <w:t>Egészségkárosító veszély:</w:t>
      </w:r>
      <w:r>
        <w:rPr>
          <w:rFonts w:cs="Tahoma"/>
        </w:rPr>
        <w:t xml:space="preserve"> szembe jutva irritálhat tartós és többszöri érintkezés esetén. </w:t>
      </w:r>
    </w:p>
    <w:p w:rsidR="00CB3A31" w:rsidRPr="00C77963" w:rsidRDefault="00CB3A31" w:rsidP="005D6C4F">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CB3A31" w:rsidRDefault="00CB3A31" w:rsidP="005D6C4F">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xml:space="preserve">, </w:t>
      </w:r>
      <w:r>
        <w:rPr>
          <w:rFonts w:ascii="Tahoma" w:hAnsi="Tahoma" w:cs="Tahoma"/>
          <w:b/>
          <w:snapToGrid w:val="0"/>
        </w:rPr>
        <w:t xml:space="preserve">a </w:t>
      </w:r>
      <w:r w:rsidRPr="00AC31F8">
        <w:rPr>
          <w:rFonts w:ascii="Tahoma" w:hAnsi="Tahoma" w:cs="Tahoma"/>
          <w:b/>
          <w:snapToGrid w:val="0"/>
        </w:rPr>
        <w:t>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Pr>
          <w:rFonts w:ascii="Tahoma" w:hAnsi="Tahoma" w:cs="Tahoma"/>
          <w:snapToGrid w:val="0"/>
        </w:rPr>
        <w:t>nincs adat.</w:t>
      </w:r>
    </w:p>
    <w:p w:rsidR="00CB3A31" w:rsidRDefault="00CB3A31"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CB3A31" w:rsidRDefault="00CB3A31" w:rsidP="0021392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w:t>
      </w:r>
    </w:p>
    <w:p w:rsidR="00CB3A31" w:rsidRDefault="00CB3A31" w:rsidP="009C0503">
      <w:pPr>
        <w:tabs>
          <w:tab w:val="left" w:pos="426"/>
          <w:tab w:val="left" w:pos="1276"/>
          <w:tab w:val="left" w:pos="6379"/>
        </w:tabs>
        <w:spacing w:before="120" w:after="60"/>
        <w:jc w:val="both"/>
        <w:rPr>
          <w:rFonts w:ascii="Tahoma" w:hAnsi="Tahoma" w:cs="Tahoma"/>
          <w:snapToGrid w:val="0"/>
          <w:sz w:val="18"/>
          <w:szCs w:val="18"/>
        </w:rPr>
      </w:pPr>
      <w:r w:rsidRPr="00964C6F">
        <w:rPr>
          <w:rFonts w:ascii="Tahoma" w:hAnsi="Tahoma" w:cs="Tahoma"/>
          <w:b/>
          <w:snapToGrid w:val="0"/>
        </w:rPr>
        <w:t>Összetevők a 648/2004/EK rendelet szerint:</w:t>
      </w:r>
      <w:r>
        <w:rPr>
          <w:rFonts w:ascii="Tahoma" w:hAnsi="Tahoma" w:cs="Tahoma"/>
          <w:snapToGrid w:val="0"/>
        </w:rPr>
        <w:t xml:space="preserve"> &lt;5% nemionos felületaktív anyag, Illatanyagokat (LIMONENE) és tartósítószert (BENZYL ALCOHOL) tartalmaz. </w:t>
      </w:r>
    </w:p>
    <w:tbl>
      <w:tblPr>
        <w:tblW w:w="7979" w:type="dxa"/>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33"/>
        <w:gridCol w:w="1361"/>
        <w:gridCol w:w="3685"/>
      </w:tblGrid>
      <w:tr w:rsidR="00CB3A31" w:rsidRPr="00501707" w:rsidTr="0059199F">
        <w:trPr>
          <w:cantSplit/>
          <w:trHeight w:val="335"/>
          <w:jc w:val="center"/>
        </w:trPr>
        <w:tc>
          <w:tcPr>
            <w:tcW w:w="2933" w:type="dxa"/>
            <w:vAlign w:val="center"/>
          </w:tcPr>
          <w:p w:rsidR="00CB3A31" w:rsidRPr="00501707" w:rsidRDefault="00CB3A31" w:rsidP="0068433E">
            <w:pPr>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361" w:type="dxa"/>
            <w:vAlign w:val="center"/>
          </w:tcPr>
          <w:p w:rsidR="00CB3A31" w:rsidRPr="00501707" w:rsidRDefault="00CB3A31" w:rsidP="0068433E">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685" w:type="dxa"/>
            <w:vAlign w:val="center"/>
          </w:tcPr>
          <w:p w:rsidR="00CB3A31" w:rsidRPr="00501707" w:rsidRDefault="00CB3A31" w:rsidP="0068433E">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CB3A31" w:rsidRPr="00501707" w:rsidRDefault="00CB3A31" w:rsidP="00E65D49">
            <w:pPr>
              <w:spacing w:before="80"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CB3A31" w:rsidRPr="0059199F" w:rsidTr="0059199F">
        <w:trPr>
          <w:cantSplit/>
          <w:trHeight w:val="335"/>
          <w:jc w:val="center"/>
        </w:trPr>
        <w:tc>
          <w:tcPr>
            <w:tcW w:w="2933" w:type="dxa"/>
            <w:vAlign w:val="center"/>
          </w:tcPr>
          <w:p w:rsidR="00CB3A31" w:rsidRPr="0059199F" w:rsidRDefault="00CB3A31" w:rsidP="001316A1">
            <w:pPr>
              <w:tabs>
                <w:tab w:val="left" w:pos="2153"/>
              </w:tabs>
              <w:spacing w:before="20"/>
              <w:ind w:left="57" w:right="215" w:firstLine="249"/>
              <w:rPr>
                <w:rFonts w:ascii="Tahoma" w:hAnsi="Tahoma" w:cs="Tahoma"/>
                <w:sz w:val="18"/>
                <w:szCs w:val="18"/>
              </w:rPr>
            </w:pPr>
            <w:r w:rsidRPr="0059199F">
              <w:rPr>
                <w:rFonts w:ascii="Tahoma" w:hAnsi="Tahoma" w:cs="Tahoma"/>
                <w:sz w:val="18"/>
                <w:szCs w:val="18"/>
              </w:rPr>
              <w:t>Citromsav monohidrát</w:t>
            </w:r>
          </w:p>
          <w:p w:rsidR="00CB3A31" w:rsidRPr="0059199F" w:rsidRDefault="00CB3A31" w:rsidP="001316A1">
            <w:pPr>
              <w:tabs>
                <w:tab w:val="left" w:pos="2153"/>
              </w:tabs>
              <w:ind w:left="57" w:right="215" w:firstLine="249"/>
              <w:rPr>
                <w:rFonts w:ascii="Tahoma" w:hAnsi="Tahoma" w:cs="Tahoma"/>
                <w:sz w:val="18"/>
                <w:szCs w:val="18"/>
              </w:rPr>
            </w:pPr>
            <w:r w:rsidRPr="0059199F">
              <w:rPr>
                <w:rFonts w:ascii="Tahoma" w:hAnsi="Tahoma" w:cs="Tahoma"/>
                <w:sz w:val="18"/>
                <w:szCs w:val="18"/>
              </w:rPr>
              <w:t xml:space="preserve">CAS-szám: 5949-29-1 </w:t>
            </w:r>
          </w:p>
          <w:p w:rsidR="00CB3A31" w:rsidRPr="0059199F" w:rsidRDefault="00CB3A31" w:rsidP="001316A1">
            <w:pPr>
              <w:tabs>
                <w:tab w:val="left" w:pos="2153"/>
              </w:tabs>
              <w:spacing w:after="40"/>
              <w:ind w:left="57" w:right="215" w:firstLine="249"/>
              <w:rPr>
                <w:rFonts w:ascii="Tahoma" w:hAnsi="Tahoma" w:cs="Tahoma"/>
                <w:sz w:val="18"/>
                <w:szCs w:val="18"/>
              </w:rPr>
            </w:pPr>
            <w:r w:rsidRPr="0059199F">
              <w:rPr>
                <w:rFonts w:ascii="Tahoma" w:hAnsi="Tahoma" w:cs="Tahoma"/>
                <w:sz w:val="18"/>
                <w:szCs w:val="18"/>
              </w:rPr>
              <w:t>EK-szám: 201-069-1</w:t>
            </w:r>
          </w:p>
        </w:tc>
        <w:tc>
          <w:tcPr>
            <w:tcW w:w="1361" w:type="dxa"/>
            <w:vAlign w:val="center"/>
          </w:tcPr>
          <w:p w:rsidR="00CB3A31" w:rsidRPr="0059199F" w:rsidRDefault="00CB3A31" w:rsidP="0059199F">
            <w:pPr>
              <w:ind w:left="61" w:right="62"/>
              <w:jc w:val="center"/>
              <w:rPr>
                <w:rFonts w:ascii="Tahoma" w:hAnsi="Tahoma" w:cs="Tahoma"/>
                <w:snapToGrid w:val="0"/>
                <w:sz w:val="18"/>
                <w:szCs w:val="18"/>
              </w:rPr>
            </w:pPr>
            <w:r>
              <w:rPr>
                <w:rFonts w:ascii="Tahoma" w:hAnsi="Tahoma" w:cs="Tahoma"/>
                <w:snapToGrid w:val="0"/>
                <w:sz w:val="18"/>
                <w:szCs w:val="18"/>
              </w:rPr>
              <w:t xml:space="preserve">5 – 10% </w:t>
            </w:r>
          </w:p>
        </w:tc>
        <w:tc>
          <w:tcPr>
            <w:tcW w:w="3685" w:type="dxa"/>
            <w:vAlign w:val="center"/>
          </w:tcPr>
          <w:p w:rsidR="00CB3A31" w:rsidRDefault="00CB3A31"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DSD: Xi, R 36</w:t>
            </w:r>
          </w:p>
          <w:p w:rsidR="00CB3A31" w:rsidRPr="0059199F" w:rsidRDefault="00CB3A31"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CLP: Eye Irrit. 2, H319</w:t>
            </w:r>
          </w:p>
        </w:tc>
      </w:tr>
    </w:tbl>
    <w:p w:rsidR="00CB3A31" w:rsidRDefault="00CB3A31" w:rsidP="005D6C4F">
      <w:pPr>
        <w:pStyle w:val="BodyTextIndent"/>
        <w:spacing w:before="120"/>
        <w:ind w:left="0"/>
      </w:pPr>
      <w:r w:rsidRPr="00CC1500">
        <w:t>A gyártó más veszélyes összetevő jelenlétét nem jelzi</w:t>
      </w:r>
      <w:r>
        <w:t>.</w:t>
      </w:r>
    </w:p>
    <w:p w:rsidR="00CB3A31" w:rsidRPr="00CC1500" w:rsidRDefault="00CB3A31" w:rsidP="005D6C4F">
      <w:pPr>
        <w:pStyle w:val="BodyTextIndent"/>
        <w:spacing w:before="120"/>
        <w:ind w:left="0"/>
      </w:pPr>
      <w:r>
        <w:t xml:space="preserve">Az </w:t>
      </w:r>
      <w:r w:rsidRPr="00CC1500">
        <w:t xml:space="preserve">egyéb összetevők </w:t>
      </w:r>
      <w:r>
        <w:t xml:space="preserve">(illatanyag-kombináció, tartósítószer, színezék, nemionos felületaktív anyag)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CB3A31" w:rsidRPr="00CC1500" w:rsidRDefault="00CB3A31" w:rsidP="005D6C4F">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komponensre vonatkoz</w:t>
      </w:r>
      <w:r>
        <w:rPr>
          <w:rFonts w:ascii="Tahoma" w:hAnsi="Tahoma" w:cs="Tahoma"/>
          <w:snapToGrid w:val="0"/>
        </w:rPr>
        <w:t>ik</w:t>
      </w:r>
      <w:r w:rsidRPr="00CC1500">
        <w:rPr>
          <w:rFonts w:ascii="Tahoma" w:hAnsi="Tahoma" w:cs="Tahoma"/>
          <w:snapToGrid w:val="0"/>
        </w:rPr>
        <w:t>, a termék veszélyesség szerinti besorolását a 2. szakasz adja meg. Az R- és H-mondatok teljes szövegét lásd a 16. szakaszban.</w:t>
      </w:r>
    </w:p>
    <w:p w:rsidR="00CB3A31" w:rsidRDefault="00CB3A3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CB3A31" w:rsidRPr="005840A9" w:rsidRDefault="00CB3A31"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CB3A31" w:rsidRPr="005840A9" w:rsidRDefault="00CB3A31" w:rsidP="005D6C4F">
      <w:pPr>
        <w:pStyle w:val="BodyTextIndent"/>
        <w:spacing w:before="40"/>
        <w:ind w:left="0"/>
        <w:rPr>
          <w:b/>
        </w:rPr>
      </w:pPr>
      <w:r w:rsidRPr="005840A9">
        <w:rPr>
          <w:b/>
        </w:rPr>
        <w:t>4.1. Az elsősegély-nyújtási intézkedések ismertetése</w:t>
      </w:r>
    </w:p>
    <w:p w:rsidR="00CB3A31" w:rsidRDefault="00CB3A31" w:rsidP="005D6C4F">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CB3A31" w:rsidRDefault="00CB3A31" w:rsidP="005D6C4F">
      <w:pPr>
        <w:pStyle w:val="BodyTextIndent"/>
        <w:spacing w:before="40"/>
        <w:ind w:left="0"/>
      </w:pPr>
      <w:r>
        <w:rPr>
          <w:b/>
        </w:rPr>
        <w:t>B</w:t>
      </w:r>
      <w:r w:rsidRPr="001451C7">
        <w:rPr>
          <w:b/>
        </w:rPr>
        <w:t>őrrel való érintkezés esetén:</w:t>
      </w:r>
      <w:r>
        <w:t xml:space="preserve"> szappannal és vízzel mosni, folyó </w:t>
      </w:r>
      <w:r w:rsidRPr="001451C7">
        <w:t>vízzel</w:t>
      </w:r>
      <w:r>
        <w:t xml:space="preserve"> alaposan</w:t>
      </w:r>
      <w:r w:rsidRPr="001451C7">
        <w:t xml:space="preserve"> le kell </w:t>
      </w:r>
      <w:r>
        <w:t>öblíteni.</w:t>
      </w:r>
    </w:p>
    <w:p w:rsidR="00CB3A31" w:rsidRPr="001451C7" w:rsidRDefault="00CB3A31" w:rsidP="005D6C4F">
      <w:pPr>
        <w:pStyle w:val="BodyTextIndent"/>
        <w:spacing w:before="20"/>
        <w:ind w:left="0"/>
      </w:pPr>
      <w:r w:rsidRPr="001451C7">
        <w:rPr>
          <w:b/>
        </w:rPr>
        <w:t>Szembe kerülése esetén:</w:t>
      </w:r>
      <w:r w:rsidRPr="001451C7">
        <w:t xml:space="preserve"> </w:t>
      </w:r>
      <w:r>
        <w:t xml:space="preserve">alapos, legalább 5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CB3A31" w:rsidRDefault="00CB3A31" w:rsidP="005D6C4F">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CB3A31" w:rsidRPr="001C77FE" w:rsidRDefault="00CB3A31" w:rsidP="005D6C4F">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szemkárosodást okozhat hosszas és tartós érintkezés esetén.</w:t>
      </w:r>
      <w:r w:rsidRPr="001C77FE">
        <w:rPr>
          <w:bCs/>
        </w:rPr>
        <w:t xml:space="preserve"> </w:t>
      </w:r>
    </w:p>
    <w:p w:rsidR="00CB3A31" w:rsidRPr="00430026" w:rsidRDefault="00CB3A31" w:rsidP="005D6C4F">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CB3A31" w:rsidRDefault="00CB3A3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CB3A31" w:rsidRDefault="00CB3A31" w:rsidP="005D6C4F">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CB3A31" w:rsidRPr="0014339B" w:rsidRDefault="00CB3A31" w:rsidP="005D6C4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CB3A31" w:rsidRDefault="00CB3A31" w:rsidP="005D6C4F">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CB3A31" w:rsidRPr="0014339B" w:rsidRDefault="00CB3A31" w:rsidP="005D6C4F">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CB3A31" w:rsidRPr="00A254C1" w:rsidRDefault="00CB3A31" w:rsidP="005D6C4F">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w:t>
      </w:r>
    </w:p>
    <w:p w:rsidR="00CB3A31" w:rsidRDefault="00CB3A3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CB3A31" w:rsidRPr="00A37543" w:rsidRDefault="00CB3A31" w:rsidP="009C05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CB3A31" w:rsidRPr="00CB1156" w:rsidRDefault="00CB3A31" w:rsidP="00B12268">
      <w:pPr>
        <w:spacing w:before="40"/>
        <w:jc w:val="both"/>
        <w:rPr>
          <w:rFonts w:ascii="Tahoma" w:hAnsi="Tahoma" w:cs="Tahoma"/>
        </w:rPr>
      </w:pPr>
      <w:r w:rsidRPr="00CB1156">
        <w:rPr>
          <w:rFonts w:ascii="Tahoma" w:hAnsi="Tahoma" w:cs="Tahoma"/>
          <w:b/>
        </w:rPr>
        <w:t xml:space="preserve">6.2. Környezetvédelmi óvintézkedések: </w:t>
      </w:r>
      <w:r w:rsidRPr="00CB1156">
        <w:rPr>
          <w:rFonts w:ascii="Tahoma" w:hAnsi="Tahoma" w:cs="Tahoma"/>
        </w:rPr>
        <w:t>a kiömlött anyagot közcsatornába, élő vizekbe, talajba juttatni nem szabad! A hulladékkezelés, a megsemmisítés a helyi előírásoknak megfelelően történjen.</w:t>
      </w:r>
    </w:p>
    <w:p w:rsidR="00CB3A31" w:rsidRDefault="00CB3A31" w:rsidP="009C050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CB3A31" w:rsidRDefault="00CB3A31"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CB3A31" w:rsidRPr="0014339B" w:rsidRDefault="00CB3A31" w:rsidP="009C05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CB3A31" w:rsidRDefault="00CB3A31" w:rsidP="009B2A63">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CB3A31" w:rsidRPr="000E1DD2" w:rsidRDefault="00CB3A31" w:rsidP="005D6C4F">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CB3A31" w:rsidRPr="00293D58" w:rsidRDefault="00CB3A31" w:rsidP="005D6C4F">
      <w:pPr>
        <w:pStyle w:val="BodyTextIndent"/>
        <w:ind w:left="0"/>
      </w:pPr>
      <w:r w:rsidRPr="008D5244">
        <w:rPr>
          <w:b/>
        </w:rPr>
        <w:t>Tűz- és robbanásvédelem:</w:t>
      </w:r>
      <w:r w:rsidRPr="008D5244">
        <w:t xml:space="preserve"> speciális intézkedés nem szükséges.</w:t>
      </w:r>
    </w:p>
    <w:p w:rsidR="00CB3A31" w:rsidRPr="0014339B" w:rsidRDefault="00CB3A31" w:rsidP="005D6C4F">
      <w:pPr>
        <w:pStyle w:val="BodyTextIndent"/>
        <w:ind w:left="0"/>
        <w:rPr>
          <w:rFonts w:cs="Tahoma"/>
          <w:b/>
        </w:rPr>
      </w:pPr>
      <w:r w:rsidRPr="0014339B">
        <w:rPr>
          <w:rFonts w:cs="Tahoma"/>
          <w:b/>
        </w:rPr>
        <w:t>7.2. A biztonságos tárolás feltételei, az esetleges összeférhetetlenséggel együtt</w:t>
      </w:r>
    </w:p>
    <w:p w:rsidR="00CB3A31" w:rsidRPr="000E1DD2" w:rsidRDefault="00CB3A31"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CB3A31" w:rsidRDefault="00CB3A31" w:rsidP="005D6C4F">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tisztítószer</w:t>
      </w:r>
    </w:p>
    <w:p w:rsidR="00CB3A31" w:rsidRPr="0014339B" w:rsidRDefault="00CB3A31" w:rsidP="005D6C4F">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CB3A31" w:rsidRDefault="00CB3A31"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CB3A31" w:rsidRDefault="00CB3A31" w:rsidP="005D6C4F">
      <w:pPr>
        <w:pStyle w:val="BodyTextIndent"/>
        <w:ind w:left="0"/>
        <w:rPr>
          <w:rFonts w:cs="Tahoma"/>
          <w:b/>
        </w:rPr>
      </w:pPr>
      <w:r w:rsidRPr="006E159B">
        <w:rPr>
          <w:rFonts w:cs="Tahoma"/>
          <w:b/>
        </w:rPr>
        <w:t>8.1. Ellenőrzési paraméterek</w:t>
      </w:r>
    </w:p>
    <w:p w:rsidR="00CB3A31" w:rsidRDefault="00CB3A31" w:rsidP="005D6C4F">
      <w:pPr>
        <w:pStyle w:val="BodyTextIndent"/>
        <w:ind w:left="0"/>
        <w:rPr>
          <w:rFonts w:cs="Tahoma"/>
        </w:rPr>
      </w:pP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nem tartalmaz olyan összetevőt, melyre vonatkozólag határérték megállapítás történt.</w:t>
      </w:r>
    </w:p>
    <w:p w:rsidR="00CB3A31" w:rsidRPr="000564A5" w:rsidRDefault="00CB3A31" w:rsidP="006711FD">
      <w:pPr>
        <w:tabs>
          <w:tab w:val="left" w:pos="2835"/>
        </w:tabs>
        <w:spacing w:before="60" w:after="120"/>
        <w:ind w:right="62"/>
        <w:rPr>
          <w:rFonts w:ascii="Tahoma" w:hAnsi="Tahoma"/>
        </w:rPr>
      </w:pPr>
      <w:r w:rsidRPr="000564A5">
        <w:rPr>
          <w:rFonts w:ascii="Tahoma" w:hAnsi="Tahoma"/>
        </w:rPr>
        <w:t>DNEL értékek: a citromsavra nem származtat</w:t>
      </w:r>
      <w:r>
        <w:rPr>
          <w:rFonts w:ascii="Tahoma" w:hAnsi="Tahoma"/>
        </w:rPr>
        <w:t>ott</w:t>
      </w:r>
      <w:r w:rsidRPr="000564A5">
        <w:rPr>
          <w:rFonts w:ascii="Tahoma" w:hAnsi="Tahoma"/>
        </w:rPr>
        <w:t>.</w:t>
      </w:r>
    </w:p>
    <w:p w:rsidR="00CB3A31" w:rsidRDefault="00CB3A31" w:rsidP="005D6C4F">
      <w:pPr>
        <w:pStyle w:val="BodyTextIndent"/>
        <w:spacing w:before="80"/>
        <w:ind w:left="0"/>
        <w:rPr>
          <w:b/>
        </w:rPr>
      </w:pPr>
      <w:r>
        <w:rPr>
          <w:b/>
        </w:rPr>
        <w:t>8.3. Személyi védelem</w:t>
      </w:r>
    </w:p>
    <w:p w:rsidR="00CB3A31" w:rsidRPr="00C46CAC" w:rsidRDefault="00CB3A31" w:rsidP="009B2A63">
      <w:pPr>
        <w:pStyle w:val="BodyTextIndent"/>
        <w:spacing w:before="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CB3A31" w:rsidRDefault="00CB3A31" w:rsidP="005D6C4F">
      <w:pPr>
        <w:pStyle w:val="BodyTextIndent"/>
        <w:spacing w:before="0"/>
        <w:ind w:left="0"/>
      </w:pPr>
      <w:r>
        <w:rPr>
          <w:b/>
        </w:rPr>
        <w:t xml:space="preserve">Műszaki intézkedések: </w:t>
      </w:r>
      <w:r>
        <w:t>nem szükséges.</w:t>
      </w:r>
    </w:p>
    <w:p w:rsidR="00CB3A31" w:rsidRDefault="00CB3A31" w:rsidP="00C46CAC">
      <w:pPr>
        <w:pStyle w:val="BodyTextIndent"/>
        <w:spacing w:before="40"/>
        <w:ind w:left="0"/>
      </w:pPr>
      <w:r>
        <w:rPr>
          <w:b/>
        </w:rPr>
        <w:t xml:space="preserve">Higiéniai intézkedések: </w:t>
      </w:r>
      <w:r>
        <w:t>tartsuk távol élelmiszerektől, italoktól és takarmányoktól.</w:t>
      </w:r>
    </w:p>
    <w:p w:rsidR="00CB3A31" w:rsidRDefault="00CB3A31" w:rsidP="005D6C4F">
      <w:pPr>
        <w:pStyle w:val="BodyTextIndent"/>
        <w:spacing w:before="80"/>
        <w:ind w:left="0"/>
        <w:rPr>
          <w:b/>
        </w:rPr>
      </w:pPr>
      <w:r w:rsidRPr="00CA2702">
        <w:rPr>
          <w:b/>
        </w:rPr>
        <w:t>Személyi védőfelszerelések</w:t>
      </w:r>
      <w:r>
        <w:rPr>
          <w:b/>
        </w:rPr>
        <w:t>:</w:t>
      </w:r>
    </w:p>
    <w:p w:rsidR="00CB3A31" w:rsidRDefault="00CB3A31" w:rsidP="00B12268">
      <w:pPr>
        <w:pStyle w:val="BodyTextIndent"/>
        <w:numPr>
          <w:ilvl w:val="0"/>
          <w:numId w:val="28"/>
        </w:numPr>
        <w:tabs>
          <w:tab w:val="clear" w:pos="1701"/>
        </w:tabs>
        <w:spacing w:before="0"/>
        <w:ind w:left="709" w:hanging="283"/>
        <w:rPr>
          <w:rFonts w:cs="Tahoma"/>
        </w:rPr>
      </w:pPr>
      <w:r w:rsidRPr="00874D02">
        <w:rPr>
          <w:rFonts w:cs="Tahoma"/>
          <w:b/>
        </w:rPr>
        <w:t>Légutak védelme:</w:t>
      </w:r>
      <w:r w:rsidRPr="00874D02">
        <w:rPr>
          <w:rFonts w:cs="Tahoma"/>
        </w:rPr>
        <w:t xml:space="preserve"> nem szükséges</w:t>
      </w:r>
      <w:r>
        <w:rPr>
          <w:rFonts w:cs="Tahoma"/>
        </w:rPr>
        <w:t>.</w:t>
      </w:r>
    </w:p>
    <w:p w:rsidR="00CB3A31" w:rsidRPr="00CA2702" w:rsidRDefault="00CB3A31" w:rsidP="00B12268">
      <w:pPr>
        <w:pStyle w:val="BodyTextIndent"/>
        <w:numPr>
          <w:ilvl w:val="0"/>
          <w:numId w:val="28"/>
        </w:numPr>
        <w:tabs>
          <w:tab w:val="clear" w:pos="1701"/>
        </w:tabs>
        <w:spacing w:before="40"/>
        <w:ind w:hanging="283"/>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CB3A31" w:rsidRPr="00B12268" w:rsidRDefault="00CB3A31" w:rsidP="00B12268">
      <w:pPr>
        <w:pStyle w:val="BodyTextIndent"/>
        <w:numPr>
          <w:ilvl w:val="0"/>
          <w:numId w:val="28"/>
        </w:numPr>
        <w:tabs>
          <w:tab w:val="left" w:pos="709"/>
        </w:tabs>
        <w:spacing w:before="40"/>
        <w:ind w:left="709" w:hanging="283"/>
        <w:rPr>
          <w:rFonts w:cs="Tahoma"/>
          <w:b/>
        </w:rPr>
      </w:pPr>
      <w:r w:rsidRPr="00B12268">
        <w:rPr>
          <w:b/>
        </w:rPr>
        <w:t>Szemvédelem:</w:t>
      </w:r>
      <w:r w:rsidRPr="00CA2702">
        <w:t xml:space="preserve"> nem szükséges. </w:t>
      </w:r>
      <w:r>
        <w:t>N</w:t>
      </w:r>
      <w:r w:rsidRPr="00B12268">
        <w:rPr>
          <w:rFonts w:cs="Tahoma"/>
        </w:rPr>
        <w:t>agy mennyiségek kezelése esetén, mentesítéskor védőszemüveg/védőálarc használata ajánlott.</w:t>
      </w:r>
    </w:p>
    <w:p w:rsidR="00CB3A31" w:rsidRPr="000376BB" w:rsidRDefault="00CB3A31" w:rsidP="005D6C4F">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a csatornába, víztestekbe ju</w:t>
      </w:r>
      <w:r>
        <w:rPr>
          <w:rFonts w:cs="Tahoma"/>
        </w:rPr>
        <w:t>sson</w:t>
      </w:r>
      <w:r w:rsidRPr="000376BB">
        <w:rPr>
          <w:rFonts w:cs="Tahoma"/>
        </w:rPr>
        <w:t xml:space="preserve">. </w:t>
      </w:r>
    </w:p>
    <w:p w:rsidR="00CB3A31" w:rsidRDefault="00CB3A3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CB3A31" w:rsidRDefault="00CB3A31" w:rsidP="005D6C4F">
      <w:pPr>
        <w:tabs>
          <w:tab w:val="left" w:pos="1985"/>
        </w:tabs>
        <w:rPr>
          <w:rFonts w:ascii="Tahoma" w:hAnsi="Tahoma"/>
          <w:b/>
          <w:snapToGrid w:val="0"/>
        </w:rPr>
      </w:pPr>
      <w:r>
        <w:rPr>
          <w:rFonts w:ascii="Tahoma" w:hAnsi="Tahoma"/>
          <w:b/>
          <w:snapToGrid w:val="0"/>
        </w:rPr>
        <w:t>9.1. Az alapvető fizikai és kémiai tulajdonságokra vonatkozó információk</w:t>
      </w:r>
    </w:p>
    <w:p w:rsidR="00CB3A31" w:rsidRDefault="00CB3A31"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CB3A31" w:rsidRDefault="00CB3A31"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színezett</w:t>
      </w:r>
    </w:p>
    <w:p w:rsidR="00CB3A31" w:rsidRDefault="00CB3A31"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CB3A31" w:rsidRPr="00DE2E56" w:rsidRDefault="00CB3A31"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CB3A31" w:rsidRDefault="00CB3A31"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2 – 3 </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CB3A31" w:rsidRDefault="00CB3A31"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CB3A31" w:rsidRDefault="00CB3A31"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CB3A31" w:rsidRDefault="00CB3A31" w:rsidP="005D6C4F">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vízhez hasonló</w:t>
      </w:r>
    </w:p>
    <w:p w:rsidR="00CB3A31" w:rsidRDefault="00CB3A31" w:rsidP="005D6C4F">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CB3A31" w:rsidRDefault="00CB3A31" w:rsidP="009B2A63">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CB3A31" w:rsidRPr="00530275" w:rsidRDefault="00CB3A31" w:rsidP="005D6C4F">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CB3A31" w:rsidRPr="00530275" w:rsidRDefault="00CB3A31" w:rsidP="005D6C4F">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CB3A31" w:rsidRPr="00D80FB5" w:rsidRDefault="00CB3A31" w:rsidP="005D6C4F">
      <w:pPr>
        <w:spacing w:before="40"/>
        <w:rPr>
          <w:rFonts w:ascii="Tahoma" w:hAnsi="Tahoma" w:cs="Tahoma"/>
          <w:snapToGrid w:val="0"/>
        </w:rPr>
      </w:pPr>
      <w:r w:rsidRPr="00530275">
        <w:rPr>
          <w:rFonts w:ascii="Tahoma" w:hAnsi="Tahoma" w:cs="Tahoma"/>
          <w:b/>
          <w:snapToGrid w:val="0"/>
        </w:rPr>
        <w:t xml:space="preserve">10.3. A veszélyes reakciók lehetősége: </w:t>
      </w:r>
      <w:r w:rsidRPr="000564A5">
        <w:rPr>
          <w:rFonts w:ascii="Tahoma" w:hAnsi="Tahoma" w:cs="Tahoma"/>
          <w:snapToGrid w:val="0"/>
        </w:rPr>
        <w:t>lúgok</w:t>
      </w:r>
      <w:r w:rsidRPr="00D80FB5">
        <w:rPr>
          <w:rFonts w:ascii="Tahoma" w:hAnsi="Tahoma" w:cs="Tahoma"/>
          <w:snapToGrid w:val="0"/>
        </w:rPr>
        <w:t>, oxidálószerek.</w:t>
      </w:r>
    </w:p>
    <w:p w:rsidR="00CB3A31" w:rsidRDefault="00CB3A31" w:rsidP="005D6C4F">
      <w:pPr>
        <w:spacing w:before="40"/>
        <w:rPr>
          <w:rFonts w:ascii="Tahoma" w:hAnsi="Tahoma" w:cs="Tahoma"/>
          <w:b/>
          <w:snapToGrid w:val="0"/>
        </w:rPr>
      </w:pPr>
      <w:r w:rsidRPr="00530275">
        <w:rPr>
          <w:rFonts w:ascii="Tahoma" w:hAnsi="Tahoma" w:cs="Tahoma"/>
          <w:b/>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CB3A31" w:rsidRDefault="00CB3A31" w:rsidP="005D6C4F">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Pr>
          <w:rFonts w:ascii="Tahoma" w:hAnsi="Tahoma" w:cs="Tahoma"/>
        </w:rPr>
        <w:t>lúgok, oxidálószerek, nitritek.</w:t>
      </w:r>
    </w:p>
    <w:p w:rsidR="00CB3A31" w:rsidRPr="00530275" w:rsidRDefault="00CB3A31" w:rsidP="005D6C4F">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CB3A31" w:rsidRDefault="00CB3A3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CB3A31" w:rsidRDefault="00CB3A31" w:rsidP="005D6C4F">
      <w:pPr>
        <w:pStyle w:val="BodyTextIndent"/>
        <w:spacing w:before="0"/>
        <w:ind w:left="0"/>
      </w:pPr>
      <w:r w:rsidRPr="006F495B">
        <w:rPr>
          <w:b/>
        </w:rPr>
        <w:t>11.1. Toxi</w:t>
      </w:r>
      <w:r>
        <w:rPr>
          <w:b/>
        </w:rPr>
        <w:t>kológiai hatásokra vonatkozó információk</w:t>
      </w:r>
    </w:p>
    <w:p w:rsidR="00CB3A31" w:rsidRPr="0065764C" w:rsidRDefault="00CB3A31" w:rsidP="005D6C4F">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r>
        <w:rPr>
          <w:rFonts w:ascii="Tahoma" w:hAnsi="Tahoma" w:cs="Tahoma"/>
        </w:rPr>
        <w:t xml:space="preserve"> A termék nem osztályozandó egészségi veszélyt jelentő keveréknek.</w:t>
      </w:r>
    </w:p>
    <w:p w:rsidR="00CB3A31" w:rsidRDefault="00CB3A31" w:rsidP="005D6C4F">
      <w:pPr>
        <w:pStyle w:val="BodyTextIndent"/>
        <w:ind w:left="0"/>
        <w:rPr>
          <w:b/>
        </w:rPr>
      </w:pPr>
      <w:r>
        <w:rPr>
          <w:b/>
        </w:rPr>
        <w:t xml:space="preserve">Primer irritációs hatások: </w:t>
      </w:r>
    </w:p>
    <w:p w:rsidR="00CB3A31" w:rsidRDefault="00CB3A31" w:rsidP="005D6C4F">
      <w:pPr>
        <w:pStyle w:val="BodyTextIndent"/>
        <w:spacing w:before="0"/>
        <w:ind w:left="0" w:firstLine="426"/>
      </w:pPr>
      <w:r>
        <w:rPr>
          <w:b/>
        </w:rPr>
        <w:t xml:space="preserve">Bőr: </w:t>
      </w:r>
      <w:r w:rsidRPr="00FD4F82">
        <w:t>nem irritál</w:t>
      </w:r>
      <w:r>
        <w:t>.</w:t>
      </w:r>
    </w:p>
    <w:p w:rsidR="00CB3A31" w:rsidRDefault="00CB3A31" w:rsidP="005D6C4F">
      <w:pPr>
        <w:pStyle w:val="BodyTextIndent"/>
        <w:spacing w:before="0"/>
        <w:ind w:left="0" w:firstLine="426"/>
        <w:rPr>
          <w:b/>
        </w:rPr>
      </w:pPr>
      <w:r>
        <w:rPr>
          <w:b/>
        </w:rPr>
        <w:t xml:space="preserve">Szem: </w:t>
      </w:r>
      <w:r w:rsidRPr="001316A1">
        <w:t>nem irritál,</w:t>
      </w:r>
      <w:r>
        <w:rPr>
          <w:b/>
        </w:rPr>
        <w:t xml:space="preserve"> </w:t>
      </w:r>
      <w:r>
        <w:t>irritálhat tartós és többszöri érintkezés esetén.</w:t>
      </w:r>
      <w:r w:rsidRPr="00FD4F82">
        <w:t xml:space="preserve"> </w:t>
      </w:r>
    </w:p>
    <w:p w:rsidR="00CB3A31" w:rsidRDefault="00CB3A31" w:rsidP="005D6C4F">
      <w:pPr>
        <w:pStyle w:val="BodyTextIndent"/>
        <w:spacing w:before="0"/>
        <w:ind w:left="0" w:firstLine="426"/>
        <w:rPr>
          <w:b/>
        </w:rPr>
      </w:pPr>
      <w:r>
        <w:rPr>
          <w:b/>
        </w:rPr>
        <w:t>Szenzibilizáció:</w:t>
      </w:r>
      <w:r w:rsidRPr="00FD4F82">
        <w:t xml:space="preserve"> szenzibilizáló hatás nem ismert.</w:t>
      </w:r>
    </w:p>
    <w:p w:rsidR="00CB3A31" w:rsidRDefault="00CB3A31" w:rsidP="005D6C4F">
      <w:pPr>
        <w:pStyle w:val="BodyTextIndent"/>
        <w:ind w:left="0"/>
      </w:pPr>
      <w:r>
        <w:rPr>
          <w:b/>
        </w:rPr>
        <w:t xml:space="preserve">11.2. További információ: </w:t>
      </w:r>
      <w:r w:rsidRPr="00FD4F82">
        <w:t>előírás- és rendeltetésszerű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CB3A31" w:rsidRDefault="00CB3A3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CB3A31" w:rsidRDefault="00CB3A31" w:rsidP="005D6C4F">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CB3A31" w:rsidRPr="001316A1" w:rsidRDefault="00CB3A31" w:rsidP="004A2824">
      <w:pPr>
        <w:pStyle w:val="BodyTextIndent"/>
        <w:spacing w:before="40"/>
        <w:ind w:left="0"/>
        <w:rPr>
          <w:rFonts w:cs="Tahoma"/>
        </w:rPr>
      </w:pPr>
      <w:r w:rsidRPr="001316A1">
        <w:rPr>
          <w:rFonts w:cs="Tahoma"/>
        </w:rPr>
        <w:t>A citromsav: L</w:t>
      </w:r>
      <w:r w:rsidRPr="001316A1">
        <w:rPr>
          <w:rFonts w:cs="Tahoma"/>
          <w:vertAlign w:val="subscript"/>
        </w:rPr>
        <w:t>50</w:t>
      </w:r>
      <w:r w:rsidRPr="001316A1">
        <w:rPr>
          <w:rFonts w:cs="Tahoma"/>
        </w:rPr>
        <w:t xml:space="preserve"> (hal, 98 óra): 440 mg/</w:t>
      </w:r>
      <w:r>
        <w:rPr>
          <w:rFonts w:cs="Tahoma"/>
        </w:rPr>
        <w:t>l</w:t>
      </w:r>
      <w:r w:rsidRPr="001316A1">
        <w:rPr>
          <w:rFonts w:cs="Tahoma"/>
        </w:rPr>
        <w:t>; LC</w:t>
      </w:r>
      <w:r w:rsidRPr="001316A1">
        <w:rPr>
          <w:rFonts w:cs="Tahoma"/>
          <w:vertAlign w:val="subscript"/>
        </w:rPr>
        <w:t>50</w:t>
      </w:r>
      <w:r w:rsidRPr="001316A1">
        <w:rPr>
          <w:rFonts w:cs="Tahoma"/>
        </w:rPr>
        <w:t xml:space="preserve"> (</w:t>
      </w:r>
      <w:r w:rsidRPr="001316A1">
        <w:rPr>
          <w:rFonts w:cs="Tahoma"/>
          <w:i/>
        </w:rPr>
        <w:t xml:space="preserve">Daphnia magna, </w:t>
      </w:r>
      <w:r w:rsidRPr="001316A1">
        <w:rPr>
          <w:rFonts w:cs="Tahoma"/>
        </w:rPr>
        <w:t>48 óra): 1535 mg/l</w:t>
      </w:r>
    </w:p>
    <w:p w:rsidR="00CB3A31" w:rsidRDefault="00CB3A31" w:rsidP="004A2824">
      <w:pPr>
        <w:pStyle w:val="BodyTextIndent"/>
        <w:spacing w:before="4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 xml:space="preserve"> </w:t>
      </w:r>
      <w:r w:rsidRPr="00A70C8D">
        <w:rPr>
          <w:rFonts w:cs="Tahoma"/>
          <w:bCs/>
        </w:rPr>
        <w:t>megfelel</w:t>
      </w:r>
      <w:r>
        <w:rPr>
          <w:rFonts w:cs="Tahoma"/>
          <w:bCs/>
        </w:rPr>
        <w:t xml:space="preserve"> </w:t>
      </w:r>
      <w:r w:rsidRPr="00A70C8D">
        <w:rPr>
          <w:rFonts w:cs="Tahoma"/>
          <w:bCs/>
        </w:rPr>
        <w:t>a 648/2004/EK rendeletben előírt biológiai lebomlási kritériumoknak</w:t>
      </w:r>
      <w:r>
        <w:rPr>
          <w:rFonts w:cs="Tahoma"/>
          <w:bCs/>
        </w:rPr>
        <w:t xml:space="preserve">, könnyen és gyorsan lebontható. </w:t>
      </w:r>
      <w:r w:rsidRPr="00A70C8D">
        <w:rPr>
          <w:rFonts w:cs="Tahoma"/>
          <w:bCs/>
        </w:rPr>
        <w:t>Az ezt alátámasztó adatok mindenkor a tagállamok illetékes szerveinek a rendelkezésére állnak, és közvetlen kérésükre vagy a tisztítószer gyártó kérésére megtekinthetők.</w:t>
      </w:r>
      <w:r>
        <w:rPr>
          <w:rFonts w:cs="Tahoma"/>
          <w:bCs/>
        </w:rPr>
        <w:t xml:space="preserve"> A citromsav biológiailag lebontható.</w:t>
      </w:r>
    </w:p>
    <w:p w:rsidR="00CB3A31" w:rsidRDefault="00CB3A31" w:rsidP="004A2824">
      <w:pPr>
        <w:pStyle w:val="BodyTextIndent2"/>
        <w:spacing w:before="40"/>
        <w:ind w:left="0"/>
        <w:rPr>
          <w:rFonts w:cs="Tahoma"/>
          <w:b/>
        </w:rPr>
      </w:pPr>
      <w:r w:rsidRPr="001A71E5">
        <w:rPr>
          <w:rFonts w:cs="Tahoma"/>
          <w:b/>
        </w:rPr>
        <w:t>12.</w:t>
      </w:r>
      <w:r>
        <w:rPr>
          <w:rFonts w:cs="Tahoma"/>
          <w:b/>
        </w:rPr>
        <w:t>3</w:t>
      </w:r>
      <w:r w:rsidRPr="001A71E5">
        <w:rPr>
          <w:rFonts w:cs="Tahoma"/>
          <w:b/>
        </w:rPr>
        <w:t xml:space="preserve">. </w:t>
      </w:r>
      <w:r>
        <w:rPr>
          <w:rFonts w:cs="Tahoma"/>
          <w:b/>
        </w:rPr>
        <w:t xml:space="preserve">Bioakkumulációs képesség: </w:t>
      </w:r>
      <w:r w:rsidRPr="008C34D8">
        <w:rPr>
          <w:rFonts w:cs="Tahoma"/>
        </w:rPr>
        <w:t>nem jellemző</w:t>
      </w:r>
      <w:r>
        <w:rPr>
          <w:rFonts w:cs="Tahoma"/>
        </w:rPr>
        <w:t>, nem várható.</w:t>
      </w:r>
    </w:p>
    <w:p w:rsidR="00CB3A31" w:rsidRDefault="00CB3A31"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CB3A31" w:rsidRDefault="00CB3A31" w:rsidP="004A2824">
      <w:pPr>
        <w:pStyle w:val="BodyTextIndent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w:t>
      </w:r>
      <w:r>
        <w:rPr>
          <w:rFonts w:cs="Tahoma"/>
        </w:rPr>
        <w:t>citromsav nem PBT anyag.</w:t>
      </w:r>
    </w:p>
    <w:p w:rsidR="00CB3A31" w:rsidRPr="001A71E5" w:rsidRDefault="00CB3A31" w:rsidP="004A2824">
      <w:pPr>
        <w:pStyle w:val="BodyTextIndent2"/>
        <w:spacing w:before="4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w:t>
      </w:r>
      <w:r>
        <w:rPr>
          <w:rFonts w:cs="Tahoma"/>
        </w:rPr>
        <w:t>.</w:t>
      </w:r>
      <w:r w:rsidRPr="001A71E5">
        <w:rPr>
          <w:rFonts w:cs="Tahoma"/>
        </w:rPr>
        <w:t xml:space="preserve"> </w:t>
      </w:r>
    </w:p>
    <w:p w:rsidR="00CB3A31" w:rsidRDefault="00CB3A31"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CB3A31" w:rsidRDefault="00CB3A31" w:rsidP="005D6C4F">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p>
    <w:p w:rsidR="00CB3A31" w:rsidRDefault="00CB3A31" w:rsidP="005D6C4F">
      <w:pPr>
        <w:pStyle w:val="BodyTextIndent"/>
        <w:spacing w:before="0"/>
        <w:ind w:left="0"/>
        <w:rPr>
          <w:rFonts w:cs="Tahoma"/>
          <w:spacing w:val="-2"/>
        </w:rPr>
      </w:pP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xml:space="preserve">. </w:t>
      </w:r>
    </w:p>
    <w:p w:rsidR="00CB3A31" w:rsidRDefault="00CB3A31" w:rsidP="005D6C4F">
      <w:pPr>
        <w:pStyle w:val="BodyTextIndent"/>
        <w:spacing w:before="0"/>
        <w:ind w:left="0"/>
        <w:rPr>
          <w:rFonts w:cs="Tahoma"/>
        </w:rPr>
      </w:pPr>
      <w:r>
        <w:rPr>
          <w:rFonts w:cs="Tahoma"/>
          <w:spacing w:val="-2"/>
        </w:rPr>
        <w:t>Kis mennyiségek háztartási hulladékként kezelhetőek.</w:t>
      </w:r>
    </w:p>
    <w:p w:rsidR="00CB3A31" w:rsidRDefault="00CB3A31" w:rsidP="005D6C4F">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CB3A31" w:rsidRDefault="00CB3A31"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 hulladék</w:t>
      </w:r>
    </w:p>
    <w:p w:rsidR="00CB3A31" w:rsidRPr="001F6E55" w:rsidRDefault="00CB3A31" w:rsidP="005D6C4F">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CB3A31" w:rsidRPr="001F6E55" w:rsidRDefault="00CB3A31"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CB3A31" w:rsidRDefault="00CB3A31" w:rsidP="005D6C4F">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CB3A31" w:rsidRDefault="00CB3A31" w:rsidP="009B2A63">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CB3A31" w:rsidRPr="007E27A7" w:rsidRDefault="00CB3A31" w:rsidP="005D6C4F">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CB3A31" w:rsidRDefault="00CB3A3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CB3A31" w:rsidRDefault="00CB3A31" w:rsidP="005D6C4F">
      <w:pPr>
        <w:pStyle w:val="BodyTextIndent"/>
        <w:ind w:left="0"/>
        <w:rPr>
          <w:b/>
        </w:rPr>
      </w:pPr>
      <w:r>
        <w:rPr>
          <w:b/>
        </w:rPr>
        <w:t>15.1. A keverékkel kapcsolatos biztonsági, egészségügyi és környezetvédelmi előírások/jogszabályok</w:t>
      </w:r>
    </w:p>
    <w:p w:rsidR="00CB3A31" w:rsidRDefault="00CB3A31" w:rsidP="005D6C4F">
      <w:pPr>
        <w:pStyle w:val="BodyTextIndent"/>
        <w:keepNext/>
        <w:widowControl w:val="0"/>
        <w:spacing w:before="80"/>
        <w:ind w:left="0"/>
        <w:rPr>
          <w:b/>
        </w:rPr>
      </w:pPr>
      <w:r>
        <w:rPr>
          <w:b/>
        </w:rPr>
        <w:t>Vonatkozó közösségi joganyagok</w:t>
      </w:r>
    </w:p>
    <w:p w:rsidR="00CB3A31" w:rsidRDefault="00CB3A31" w:rsidP="005D6C4F">
      <w:pPr>
        <w:pStyle w:val="BodyTextIndent"/>
        <w:spacing w:before="0"/>
        <w:ind w:left="0"/>
      </w:pPr>
      <w:r w:rsidRPr="00A229DB">
        <w:t>REACH rendelet</w:t>
      </w:r>
      <w:r>
        <w:t xml:space="preserve">: </w:t>
      </w:r>
      <w:r w:rsidRPr="00A229DB">
        <w:t>1907/2006/EK és módosításai</w:t>
      </w:r>
    </w:p>
    <w:p w:rsidR="00CB3A31" w:rsidRPr="00A229DB" w:rsidRDefault="00CB3A31" w:rsidP="005D6C4F">
      <w:pPr>
        <w:pStyle w:val="BodyTextIndent"/>
        <w:spacing w:before="0"/>
        <w:ind w:left="0"/>
      </w:pPr>
      <w:r w:rsidRPr="00A229DB">
        <w:t>CLP-rendelet: 1272/2008/EK és módosításai</w:t>
      </w:r>
    </w:p>
    <w:p w:rsidR="00CB3A31" w:rsidRPr="00A229DB" w:rsidRDefault="00CB3A31" w:rsidP="005D6C4F">
      <w:pPr>
        <w:pStyle w:val="BodyTextIndent"/>
        <w:spacing w:before="0"/>
        <w:ind w:left="0"/>
      </w:pPr>
      <w:r>
        <w:t>Tisztítószer-rendelet: 648/2004/EK és módosításai</w:t>
      </w:r>
    </w:p>
    <w:p w:rsidR="00CB3A31" w:rsidRDefault="00CB3A31" w:rsidP="005D6C4F">
      <w:pPr>
        <w:pStyle w:val="BodyTextIndent"/>
        <w:spacing w:before="0"/>
        <w:ind w:left="0"/>
      </w:pPr>
      <w:r w:rsidRPr="00A229DB">
        <w:t xml:space="preserve">DSD és DPD-irányelv: 67/548/EGK és 1999/45/EK és módosításai </w:t>
      </w:r>
    </w:p>
    <w:p w:rsidR="00CB3A31" w:rsidRPr="008D4C21" w:rsidRDefault="00CB3A31" w:rsidP="005D6C4F">
      <w:pPr>
        <w:pStyle w:val="BodyTextIndent"/>
        <w:keepNext/>
        <w:widowControl w:val="0"/>
        <w:spacing w:before="80"/>
        <w:ind w:left="0"/>
        <w:rPr>
          <w:rFonts w:cs="Tahoma"/>
          <w:b/>
        </w:rPr>
      </w:pPr>
      <w:r w:rsidRPr="008D4C21">
        <w:rPr>
          <w:rFonts w:cs="Tahoma"/>
          <w:b/>
        </w:rPr>
        <w:t>Vonatkozó nemzeti joganyagok</w:t>
      </w:r>
    </w:p>
    <w:p w:rsidR="00CB3A31" w:rsidRPr="00CA61B2" w:rsidRDefault="00CB3A31" w:rsidP="005D6C4F">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CB3A31" w:rsidRPr="008D4C21" w:rsidRDefault="00CB3A31" w:rsidP="005D6C4F">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CB3A31" w:rsidRPr="008D4C21" w:rsidRDefault="00CB3A31" w:rsidP="005D6C4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B3A31" w:rsidRPr="008D4C21" w:rsidRDefault="00CB3A31" w:rsidP="005D6C4F">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CB3A31" w:rsidRPr="008D4C21" w:rsidRDefault="00CB3A31" w:rsidP="005D6C4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CB3A31" w:rsidRPr="00CA61B2" w:rsidRDefault="00CB3A31" w:rsidP="005D6C4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CB3A31" w:rsidRDefault="00CB3A3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CB3A31" w:rsidRDefault="00CB3A31" w:rsidP="005D6C4F">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CB3A31" w:rsidRDefault="00CB3A31" w:rsidP="005D6C4F">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CB3A31" w:rsidRDefault="00CB3A31" w:rsidP="00C46CAC">
      <w:pPr>
        <w:pStyle w:val="BodyTextIndent"/>
        <w:ind w:left="0"/>
        <w:rPr>
          <w:rFonts w:cs="Tahoma"/>
          <w:b/>
        </w:rPr>
      </w:pPr>
      <w:r>
        <w:rPr>
          <w:rFonts w:cs="Tahoma"/>
          <w:b/>
        </w:rPr>
        <w:t xml:space="preserve">16.1. </w:t>
      </w:r>
      <w:r w:rsidRPr="003C3065">
        <w:rPr>
          <w:rFonts w:cs="Tahoma"/>
          <w:b/>
        </w:rPr>
        <w:t xml:space="preserve">A </w:t>
      </w:r>
      <w:r>
        <w:rPr>
          <w:rFonts w:cs="Tahoma"/>
          <w:b/>
        </w:rPr>
        <w:t xml:space="preserve">2. és a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CB3A31" w:rsidRDefault="00CB3A31" w:rsidP="000564A5">
      <w:pPr>
        <w:pStyle w:val="BodyTextIndent"/>
        <w:tabs>
          <w:tab w:val="left" w:pos="851"/>
          <w:tab w:val="left" w:pos="1276"/>
        </w:tabs>
        <w:spacing w:before="0"/>
        <w:ind w:left="0" w:firstLine="425"/>
        <w:rPr>
          <w:b/>
        </w:rPr>
      </w:pPr>
      <w:r>
        <w:rPr>
          <w:rFonts w:cs="Tahoma"/>
        </w:rPr>
        <w:t>Xi: Irritatív</w:t>
      </w:r>
    </w:p>
    <w:p w:rsidR="00CB3A31" w:rsidRDefault="00CB3A31" w:rsidP="005D6C4F">
      <w:pPr>
        <w:tabs>
          <w:tab w:val="left" w:pos="1276"/>
        </w:tabs>
        <w:ind w:firstLine="426"/>
        <w:jc w:val="both"/>
        <w:rPr>
          <w:rFonts w:ascii="Tahoma" w:hAnsi="Tahoma" w:cs="Tahoma"/>
          <w:snapToGrid w:val="0"/>
        </w:rPr>
      </w:pPr>
      <w:r>
        <w:rPr>
          <w:rFonts w:ascii="Tahoma" w:hAnsi="Tahoma" w:cs="Tahoma"/>
          <w:snapToGrid w:val="0"/>
        </w:rPr>
        <w:t>R 36</w:t>
      </w:r>
      <w:r>
        <w:rPr>
          <w:rFonts w:ascii="Tahoma" w:hAnsi="Tahoma" w:cs="Tahoma"/>
          <w:snapToGrid w:val="0"/>
        </w:rPr>
        <w:tab/>
        <w:t>Szemizgató hatású</w:t>
      </w:r>
    </w:p>
    <w:p w:rsidR="00CB3A31" w:rsidRPr="006B2FFA" w:rsidRDefault="00CB3A31" w:rsidP="005D6C4F">
      <w:pPr>
        <w:tabs>
          <w:tab w:val="left" w:pos="1100"/>
        </w:tabs>
        <w:spacing w:before="120"/>
        <w:jc w:val="both"/>
        <w:rPr>
          <w:rFonts w:ascii="Tahoma" w:hAnsi="Tahoma" w:cs="Tahoma"/>
          <w:snapToGrid w:val="0"/>
        </w:rPr>
      </w:pPr>
      <w:r>
        <w:rPr>
          <w:rFonts w:ascii="Tahoma" w:hAnsi="Tahoma" w:cs="Tahoma"/>
          <w:b/>
          <w:snapToGrid w:val="0"/>
        </w:rPr>
        <w:t>A CLP-v</w:t>
      </w:r>
      <w:r w:rsidRPr="006B2FFA">
        <w:rPr>
          <w:rFonts w:ascii="Tahoma" w:hAnsi="Tahoma" w:cs="Tahoma"/>
          <w:b/>
          <w:snapToGrid w:val="0"/>
        </w:rPr>
        <w:t>eszélyosztályok rövidítései</w:t>
      </w:r>
      <w:r>
        <w:rPr>
          <w:rFonts w:ascii="Tahoma" w:hAnsi="Tahoma" w:cs="Tahoma"/>
          <w:b/>
          <w:snapToGrid w:val="0"/>
        </w:rPr>
        <w:t xml:space="preserve">, </w:t>
      </w:r>
      <w:r w:rsidRPr="006B2FFA">
        <w:rPr>
          <w:rFonts w:ascii="Tahoma" w:hAnsi="Tahoma" w:cs="Tahoma"/>
          <w:snapToGrid w:val="0"/>
        </w:rPr>
        <w:t xml:space="preserve">a rövidítések utáni </w:t>
      </w:r>
      <w:r>
        <w:rPr>
          <w:rFonts w:ascii="Tahoma" w:hAnsi="Tahoma" w:cs="Tahoma"/>
          <w:snapToGrid w:val="0"/>
        </w:rPr>
        <w:t xml:space="preserve">(1-4) </w:t>
      </w:r>
      <w:r w:rsidRPr="006B2FFA">
        <w:rPr>
          <w:rFonts w:ascii="Tahoma" w:hAnsi="Tahoma" w:cs="Tahoma"/>
          <w:snapToGrid w:val="0"/>
        </w:rPr>
        <w:t xml:space="preserve">számok, az osztályon belüli kategóriát jelölik meg, a nagyobb számok kisebb veszélyt jelentenek: </w:t>
      </w:r>
    </w:p>
    <w:p w:rsidR="00CB3A31" w:rsidRPr="000564A5" w:rsidRDefault="00CB3A31"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CB3A31" w:rsidRPr="006553AB" w:rsidRDefault="00CB3A31" w:rsidP="005D6C4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(2.0-HU verzió, készült 2015. május 31.) a gyártó adatai alapján készült, felülírja az előző verziót, a változások a CLP-rendeletnek történő megfelelést célozták.</w:t>
      </w:r>
    </w:p>
    <w:sectPr w:rsidR="00CB3A31"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31" w:rsidRDefault="00CB3A31">
      <w:r>
        <w:separator/>
      </w:r>
    </w:p>
  </w:endnote>
  <w:endnote w:type="continuationSeparator" w:id="0">
    <w:p w:rsidR="00CB3A31" w:rsidRDefault="00CB3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31" w:rsidRDefault="00CB3A31">
      <w:r>
        <w:separator/>
      </w:r>
    </w:p>
  </w:footnote>
  <w:footnote w:type="continuationSeparator" w:id="0">
    <w:p w:rsidR="00CB3A31" w:rsidRDefault="00CB3A31">
      <w:r>
        <w:continuationSeparator/>
      </w:r>
    </w:p>
  </w:footnote>
  <w:footnote w:id="1">
    <w:p w:rsidR="00CB3A31" w:rsidRDefault="00CB3A31" w:rsidP="005D6C4F">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CB3A31" w:rsidRDefault="00CB3A31" w:rsidP="005D6C4F">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CB3A31" w:rsidRDefault="00CB3A31" w:rsidP="005D6C4F">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31" w:rsidRDefault="00CB3A31"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Gépi Öblítőszer</w:t>
    </w:r>
    <w:r>
      <w:rPr>
        <w:rFonts w:ascii="Tahoma" w:hAnsi="Tahoma" w:cs="Tahoma"/>
        <w:noProof/>
        <w:sz w:val="14"/>
        <w:szCs w:val="14"/>
      </w:rPr>
      <w:tab/>
    </w:r>
  </w:p>
  <w:p w:rsidR="00CB3A31" w:rsidRDefault="00CB3A3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2.0 – HU</w:t>
    </w:r>
  </w:p>
  <w:p w:rsidR="00CB3A31" w:rsidRDefault="00CB3A3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május 31.</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3</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31" w:rsidRDefault="00CB3A31"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6"/>
  </w:num>
  <w:num w:numId="8">
    <w:abstractNumId w:val="11"/>
  </w:num>
  <w:num w:numId="9">
    <w:abstractNumId w:val="7"/>
  </w:num>
  <w:num w:numId="10">
    <w:abstractNumId w:val="21"/>
  </w:num>
  <w:num w:numId="11">
    <w:abstractNumId w:val="19"/>
  </w:num>
  <w:num w:numId="12">
    <w:abstractNumId w:val="22"/>
  </w:num>
  <w:num w:numId="13">
    <w:abstractNumId w:val="17"/>
  </w:num>
  <w:num w:numId="14">
    <w:abstractNumId w:val="3"/>
  </w:num>
  <w:num w:numId="15">
    <w:abstractNumId w:val="12"/>
  </w:num>
  <w:num w:numId="16">
    <w:abstractNumId w:val="6"/>
  </w:num>
  <w:num w:numId="17">
    <w:abstractNumId w:val="2"/>
  </w:num>
  <w:num w:numId="18">
    <w:abstractNumId w:val="15"/>
  </w:num>
  <w:num w:numId="19">
    <w:abstractNumId w:val="8"/>
  </w:num>
  <w:num w:numId="20">
    <w:abstractNumId w:val="14"/>
  </w:num>
  <w:num w:numId="21">
    <w:abstractNumId w:val="4"/>
  </w:num>
  <w:num w:numId="22">
    <w:abstractNumId w:val="20"/>
  </w:num>
  <w:num w:numId="23">
    <w:abstractNumId w:val="9"/>
  </w:num>
  <w:num w:numId="24">
    <w:abstractNumId w:val="23"/>
  </w:num>
  <w:num w:numId="25">
    <w:abstractNumId w:val="13"/>
  </w:num>
  <w:num w:numId="26">
    <w:abstractNumId w:val="1"/>
  </w:num>
  <w:num w:numId="27">
    <w:abstractNumId w:val="18"/>
  </w:num>
  <w:num w:numId="28">
    <w:abstractNumId w:val="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7104"/>
    <w:rsid w:val="000376BB"/>
    <w:rsid w:val="00040A53"/>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E1DD2"/>
    <w:rsid w:val="000E4A43"/>
    <w:rsid w:val="000E51C7"/>
    <w:rsid w:val="000F0E73"/>
    <w:rsid w:val="000F1C1A"/>
    <w:rsid w:val="00100203"/>
    <w:rsid w:val="001007CD"/>
    <w:rsid w:val="00101AF6"/>
    <w:rsid w:val="00102AFA"/>
    <w:rsid w:val="001063D0"/>
    <w:rsid w:val="001179C0"/>
    <w:rsid w:val="0012223F"/>
    <w:rsid w:val="00123D5E"/>
    <w:rsid w:val="00124467"/>
    <w:rsid w:val="001244DF"/>
    <w:rsid w:val="001316A1"/>
    <w:rsid w:val="0013230F"/>
    <w:rsid w:val="0014339B"/>
    <w:rsid w:val="001451C7"/>
    <w:rsid w:val="0015371B"/>
    <w:rsid w:val="001555B4"/>
    <w:rsid w:val="00155BA0"/>
    <w:rsid w:val="001610D0"/>
    <w:rsid w:val="00172A90"/>
    <w:rsid w:val="00173BF9"/>
    <w:rsid w:val="0017621F"/>
    <w:rsid w:val="00176539"/>
    <w:rsid w:val="00182763"/>
    <w:rsid w:val="00184F11"/>
    <w:rsid w:val="001866BA"/>
    <w:rsid w:val="001875AB"/>
    <w:rsid w:val="00196D8C"/>
    <w:rsid w:val="001A4626"/>
    <w:rsid w:val="001A6D1E"/>
    <w:rsid w:val="001A71A9"/>
    <w:rsid w:val="001A71E5"/>
    <w:rsid w:val="001B5B76"/>
    <w:rsid w:val="001C5776"/>
    <w:rsid w:val="001C77FE"/>
    <w:rsid w:val="001D1A25"/>
    <w:rsid w:val="001D7C4F"/>
    <w:rsid w:val="001E4463"/>
    <w:rsid w:val="001E47CE"/>
    <w:rsid w:val="001E5BCD"/>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3760"/>
    <w:rsid w:val="002B06F6"/>
    <w:rsid w:val="002B5B34"/>
    <w:rsid w:val="002B6409"/>
    <w:rsid w:val="002B6BE7"/>
    <w:rsid w:val="002C30D4"/>
    <w:rsid w:val="002C56A6"/>
    <w:rsid w:val="002C6EA5"/>
    <w:rsid w:val="002E743C"/>
    <w:rsid w:val="002E7A9F"/>
    <w:rsid w:val="00301D81"/>
    <w:rsid w:val="003073B5"/>
    <w:rsid w:val="0031732B"/>
    <w:rsid w:val="00322095"/>
    <w:rsid w:val="00323E34"/>
    <w:rsid w:val="0033006D"/>
    <w:rsid w:val="00332A1C"/>
    <w:rsid w:val="00332AD1"/>
    <w:rsid w:val="00333685"/>
    <w:rsid w:val="00334B0F"/>
    <w:rsid w:val="0034100E"/>
    <w:rsid w:val="0034660F"/>
    <w:rsid w:val="00351516"/>
    <w:rsid w:val="00356E1F"/>
    <w:rsid w:val="003606C6"/>
    <w:rsid w:val="003628FA"/>
    <w:rsid w:val="00376AB8"/>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C1FE7"/>
    <w:rsid w:val="004C41E2"/>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45FB"/>
    <w:rsid w:val="00562764"/>
    <w:rsid w:val="0056484A"/>
    <w:rsid w:val="00570043"/>
    <w:rsid w:val="005818AB"/>
    <w:rsid w:val="0058246F"/>
    <w:rsid w:val="005840A9"/>
    <w:rsid w:val="005906FB"/>
    <w:rsid w:val="00590BE6"/>
    <w:rsid w:val="0059199F"/>
    <w:rsid w:val="0059673E"/>
    <w:rsid w:val="00596E7B"/>
    <w:rsid w:val="005A11A7"/>
    <w:rsid w:val="005A1937"/>
    <w:rsid w:val="005A453F"/>
    <w:rsid w:val="005C358B"/>
    <w:rsid w:val="005C3AF3"/>
    <w:rsid w:val="005C3B1E"/>
    <w:rsid w:val="005C50EE"/>
    <w:rsid w:val="005D6C4F"/>
    <w:rsid w:val="005E6B01"/>
    <w:rsid w:val="00603B9F"/>
    <w:rsid w:val="00611589"/>
    <w:rsid w:val="00615561"/>
    <w:rsid w:val="00616803"/>
    <w:rsid w:val="0062027F"/>
    <w:rsid w:val="00623045"/>
    <w:rsid w:val="00626A8E"/>
    <w:rsid w:val="00630FE0"/>
    <w:rsid w:val="00632BAE"/>
    <w:rsid w:val="00641A4C"/>
    <w:rsid w:val="00642786"/>
    <w:rsid w:val="0064496A"/>
    <w:rsid w:val="00653031"/>
    <w:rsid w:val="00653A8F"/>
    <w:rsid w:val="006553AB"/>
    <w:rsid w:val="0065764C"/>
    <w:rsid w:val="006608A9"/>
    <w:rsid w:val="006608CB"/>
    <w:rsid w:val="006657B2"/>
    <w:rsid w:val="006660B2"/>
    <w:rsid w:val="00670F3E"/>
    <w:rsid w:val="006711FD"/>
    <w:rsid w:val="0067132A"/>
    <w:rsid w:val="00675D5C"/>
    <w:rsid w:val="00681260"/>
    <w:rsid w:val="00682C9C"/>
    <w:rsid w:val="00683C91"/>
    <w:rsid w:val="0068433E"/>
    <w:rsid w:val="0068681B"/>
    <w:rsid w:val="00696C6B"/>
    <w:rsid w:val="006A0D13"/>
    <w:rsid w:val="006A2BFD"/>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3ECE"/>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C12C9"/>
    <w:rsid w:val="008C34D8"/>
    <w:rsid w:val="008C4891"/>
    <w:rsid w:val="008C7181"/>
    <w:rsid w:val="008D01FE"/>
    <w:rsid w:val="008D4C21"/>
    <w:rsid w:val="008D5244"/>
    <w:rsid w:val="008D7648"/>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7868"/>
    <w:rsid w:val="00954020"/>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70C8D"/>
    <w:rsid w:val="00A734DB"/>
    <w:rsid w:val="00A7737B"/>
    <w:rsid w:val="00A775F0"/>
    <w:rsid w:val="00A8045D"/>
    <w:rsid w:val="00A8502F"/>
    <w:rsid w:val="00A855C9"/>
    <w:rsid w:val="00A86173"/>
    <w:rsid w:val="00A87712"/>
    <w:rsid w:val="00A9075B"/>
    <w:rsid w:val="00A944B3"/>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25BE"/>
    <w:rsid w:val="00BF3606"/>
    <w:rsid w:val="00BF66F4"/>
    <w:rsid w:val="00BF7BA9"/>
    <w:rsid w:val="00C04831"/>
    <w:rsid w:val="00C04E08"/>
    <w:rsid w:val="00C110D4"/>
    <w:rsid w:val="00C11815"/>
    <w:rsid w:val="00C124FE"/>
    <w:rsid w:val="00C14797"/>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218F"/>
    <w:rsid w:val="00C77963"/>
    <w:rsid w:val="00C84C27"/>
    <w:rsid w:val="00C86C3C"/>
    <w:rsid w:val="00C934BE"/>
    <w:rsid w:val="00CA2702"/>
    <w:rsid w:val="00CA4144"/>
    <w:rsid w:val="00CA5BA2"/>
    <w:rsid w:val="00CA61B2"/>
    <w:rsid w:val="00CB0228"/>
    <w:rsid w:val="00CB1156"/>
    <w:rsid w:val="00CB1331"/>
    <w:rsid w:val="00CB20D4"/>
    <w:rsid w:val="00CB3A31"/>
    <w:rsid w:val="00CC1500"/>
    <w:rsid w:val="00CC3606"/>
    <w:rsid w:val="00CE305A"/>
    <w:rsid w:val="00CF0210"/>
    <w:rsid w:val="00CF578F"/>
    <w:rsid w:val="00CF5948"/>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09EB"/>
    <w:rsid w:val="00E80838"/>
    <w:rsid w:val="00E81507"/>
    <w:rsid w:val="00E84E02"/>
    <w:rsid w:val="00E8777E"/>
    <w:rsid w:val="00E878DA"/>
    <w:rsid w:val="00E934D1"/>
    <w:rsid w:val="00E93F74"/>
    <w:rsid w:val="00EA51E2"/>
    <w:rsid w:val="00EA76D7"/>
    <w:rsid w:val="00EA7B2A"/>
    <w:rsid w:val="00EC0BAC"/>
    <w:rsid w:val="00EC65D8"/>
    <w:rsid w:val="00ED050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1851</Words>
  <Characters>12772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2</cp:revision>
  <cp:lastPrinted>2013-10-29T20:06:00Z</cp:lastPrinted>
  <dcterms:created xsi:type="dcterms:W3CDTF">2015-06-08T06:17:00Z</dcterms:created>
  <dcterms:modified xsi:type="dcterms:W3CDTF">2015-06-08T06:17:00Z</dcterms:modified>
</cp:coreProperties>
</file>